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E56" w:rsidRPr="00DD7C4F" w:rsidRDefault="009F7A1C" w:rsidP="00930E56">
      <w:pPr>
        <w:pStyle w:val="afe"/>
        <w:spacing w:before="0" w:beforeAutospacing="0" w:after="0" w:afterAutospacing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Методика</w:t>
      </w:r>
      <w:r w:rsidR="00C2773C" w:rsidRPr="00DD7C4F">
        <w:rPr>
          <w:b/>
          <w:bCs/>
          <w:color w:val="000000" w:themeColor="text1"/>
        </w:rPr>
        <w:t xml:space="preserve"> предоставления и распределения субсидии </w:t>
      </w:r>
      <w:r w:rsidR="00615531">
        <w:rPr>
          <w:b/>
          <w:bCs/>
          <w:color w:val="000000" w:themeColor="text1"/>
        </w:rPr>
        <w:t>из бюджета муниципального образования бюджетам городских и сельских поселений</w:t>
      </w:r>
    </w:p>
    <w:p w:rsidR="00C2773C" w:rsidRPr="00DD7C4F" w:rsidRDefault="00C2773C" w:rsidP="00DD7C4F">
      <w:pPr>
        <w:pStyle w:val="afe"/>
        <w:spacing w:before="0" w:beforeAutospacing="0" w:after="0" w:afterAutospacing="0"/>
        <w:jc w:val="center"/>
        <w:rPr>
          <w:b/>
          <w:bCs/>
          <w:color w:val="000000" w:themeColor="text1"/>
        </w:rPr>
      </w:pPr>
      <w:r w:rsidRPr="00DD7C4F">
        <w:rPr>
          <w:b/>
          <w:bCs/>
          <w:color w:val="000000" w:themeColor="text1"/>
        </w:rPr>
        <w:t xml:space="preserve">на создание условий для деятельности народных дружин </w:t>
      </w:r>
    </w:p>
    <w:p w:rsidR="00DD7C4F" w:rsidRPr="00DD7C4F" w:rsidRDefault="00DD7C4F" w:rsidP="00DD7C4F">
      <w:pPr>
        <w:pStyle w:val="afe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p w:rsidR="00DD7C4F" w:rsidRPr="00DD7C4F" w:rsidRDefault="00DD7C4F" w:rsidP="00DD7C4F">
      <w:pPr>
        <w:pStyle w:val="afe"/>
        <w:spacing w:before="0" w:beforeAutospacing="0" w:after="0" w:afterAutospacing="0"/>
        <w:jc w:val="center"/>
        <w:rPr>
          <w:b/>
          <w:bCs/>
          <w:color w:val="000000" w:themeColor="text1"/>
        </w:rPr>
      </w:pP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1. </w:t>
      </w:r>
      <w:bookmarkStart w:id="0" w:name="_GoBack"/>
      <w:r w:rsidR="009F7A1C">
        <w:rPr>
          <w:color w:val="000000" w:themeColor="text1"/>
        </w:rPr>
        <w:t>Методика</w:t>
      </w:r>
      <w:bookmarkEnd w:id="0"/>
      <w:r w:rsidRPr="00DD7C4F">
        <w:rPr>
          <w:color w:val="000000" w:themeColor="text1"/>
        </w:rPr>
        <w:t xml:space="preserve"> определяет правила и условия предоставления субсидии из бюджета</w:t>
      </w:r>
      <w:r w:rsidR="00EB4BC1">
        <w:rPr>
          <w:color w:val="000000" w:themeColor="text1"/>
        </w:rPr>
        <w:t xml:space="preserve"> муниципального образования </w:t>
      </w:r>
      <w:r w:rsidR="00EB4BC1" w:rsidRPr="00DD7C4F">
        <w:rPr>
          <w:color w:val="000000" w:themeColor="text1"/>
        </w:rPr>
        <w:t>бюджетам</w:t>
      </w:r>
      <w:r w:rsidRPr="00DD7C4F">
        <w:rPr>
          <w:color w:val="000000" w:themeColor="text1"/>
        </w:rPr>
        <w:t xml:space="preserve"> городских</w:t>
      </w:r>
      <w:r w:rsidR="00EB4BC1">
        <w:rPr>
          <w:color w:val="000000" w:themeColor="text1"/>
        </w:rPr>
        <w:t xml:space="preserve"> и сельских поселений</w:t>
      </w:r>
      <w:r w:rsidRPr="00DD7C4F">
        <w:rPr>
          <w:color w:val="000000" w:themeColor="text1"/>
        </w:rPr>
        <w:t xml:space="preserve"> округов и муниципальных рай</w:t>
      </w:r>
      <w:r w:rsidR="00EB4BC1">
        <w:rPr>
          <w:color w:val="000000" w:themeColor="text1"/>
        </w:rPr>
        <w:t xml:space="preserve">онов автономного округа </w:t>
      </w:r>
      <w:r w:rsidRPr="00DD7C4F">
        <w:rPr>
          <w:color w:val="000000" w:themeColor="text1"/>
        </w:rPr>
        <w:t xml:space="preserve">на </w:t>
      </w:r>
      <w:r w:rsidR="00EB4BC1">
        <w:rPr>
          <w:color w:val="000000" w:themeColor="text1"/>
        </w:rPr>
        <w:t>со</w:t>
      </w:r>
      <w:r w:rsidR="00EB4BC1" w:rsidRPr="00DD7C4F">
        <w:rPr>
          <w:color w:val="000000" w:themeColor="text1"/>
        </w:rPr>
        <w:t>финансирование</w:t>
      </w:r>
      <w:r w:rsidRPr="00DD7C4F">
        <w:rPr>
          <w:color w:val="000000" w:themeColor="text1"/>
        </w:rPr>
        <w:t xml:space="preserve"> расходного обязательства, возникающего при реализации мероприятий муниципальных программ, направленных на создание условий для деятельности народных дружин.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bookmarkStart w:id="1" w:name="p7"/>
      <w:bookmarkEnd w:id="1"/>
      <w:r w:rsidRPr="00DD7C4F">
        <w:rPr>
          <w:color w:val="000000" w:themeColor="text1"/>
        </w:rPr>
        <w:t xml:space="preserve">2. Субсидия предоставляется в целях софинансирования мероприятий муниципальных программ, предусматривающих создание условий для деятельности народных дружин, в соответствии с комплексом процессных мероприятий "Профилактика правонарушений и обеспечение защиты прав потребителей" </w:t>
      </w:r>
      <w:hyperlink r:id="rId8" w:history="1">
        <w:r w:rsidRPr="00DD7C4F">
          <w:rPr>
            <w:rStyle w:val="aa"/>
            <w:rFonts w:eastAsia="Arial"/>
            <w:color w:val="000000" w:themeColor="text1"/>
            <w:u w:val="none"/>
          </w:rPr>
          <w:t>направления</w:t>
        </w:r>
      </w:hyperlink>
      <w:r w:rsidRPr="00DD7C4F">
        <w:rPr>
          <w:color w:val="000000" w:themeColor="text1"/>
        </w:rPr>
        <w:t xml:space="preserve"> (подпрограммы) "Профилактика правонарушений, незаконного оборота и потребления наркотических средств и психотропных веществ" государственной программы автономного округа "Безопасность жизнедеятельности и профилактика правонарушений", утвержденной постановлением Правительства автономного округа от 10 ноября 2023 года N 543-п (далее - государственная программа, мероприятие), по следующим направлениям расходов: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приобретение (изготовление) форменной одежды, отличительной символики, удостоверений народных дружинников;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выплата материального стимулирования народным дружинникам и предоставление мер поддержки, установленных </w:t>
      </w:r>
      <w:hyperlink r:id="rId9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пунктом 1 статьи 6</w:t>
        </w:r>
      </w:hyperlink>
      <w:r w:rsidRPr="00DD7C4F">
        <w:rPr>
          <w:color w:val="000000" w:themeColor="text1"/>
        </w:rPr>
        <w:t xml:space="preserve"> Закона автономного округа от 19 ноября 2014 года N 95-оз "О регулировании отдельных вопросов участия граждан в охране общественного порядка в Ханты-Мансийском автономном округе - Югре";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личное страхование народных дружинников.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Субсидию предоставляет Департамент региональной безопасности автономного округа (далее - Депбезопасности Югры), до которого как получателя бюджетных средств доведены лимиты бюджетных обязательств на соответствующий финансовый год и плановый период в пределах бюджетных ассигнований, предусмотренных законом автономного округа о бюджете автономного округа на очередной финансовый год и на плановый период на указанные в Порядке цели.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3. Субсидия предоставляется при соблюдении следующих условий: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bookmarkStart w:id="2" w:name="p13"/>
      <w:bookmarkEnd w:id="2"/>
      <w:r w:rsidRPr="00DD7C4F">
        <w:rPr>
          <w:color w:val="000000" w:themeColor="text1"/>
        </w:rPr>
        <w:t xml:space="preserve">3.1. Наличие муниципального правового акта об утверждении мероприятия, в целях софинансирования которого предоставляется субсидия, в том числе для достижения результатов ее использования, представляющих собой конечные результаты исполнения расходного обязательства муниципального образования автономного округа, соответствующих показателю государственной программы, на достижение которого направлена реализация софинансируемого мероприятия.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3.2.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автономного округа,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бюджета автономного округа субсидии.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3.3. Заключение соглашения между Депбезопасности Югры и муниципальным образованием автономного округа о предоставлении из бюджета автономного округа субсидии местному бюджету, предусматривающего обязательство муниципального образования автономного округа по исполнению расходного обязательства, в целях софинансирования которого предоставляется субсидия (далее - Соглашение), и ответственность за неисполнение предусмотренных Соглашением обязательств.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lastRenderedPageBreak/>
        <w:t xml:space="preserve">4. Доли софинансирования за счет средств бюджета автономного округа и средств местных бюджетов устанавливаются с учетом предельного уровня софинансирования расходного обязательства муниципального образования автономного округа из бюджета автономного округа: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для муниципальных образований автономного округа с коэффициентом уровня расчетной бюджетной обеспеченности до 0,6: за счет средств бюджета автономного округа - не более 80%, за счет средств местных бюджетов - не менее 20%;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для муниципальных образований автономного округа с коэффициентом уровня расчетной бюджетной обеспеченности от 0,6 до 1: за счет средств бюджета автономного округа - не более 70%, за счет средств местных бюджетов - не менее 30%;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для муниципальных образований автономного округа с коэффициентом уровня расчетной бюджетной обеспеченности больше 1: за счет средств бюджета автономного округа - не более 50%, за счет средств местных бюджетов - не менее 50%.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Органы местного самоуправления муниципальных образований автономного округа вправе увеличивать долю финансирования мероприятий за счет средств местных бюджетов.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bookmarkStart w:id="3" w:name="p21"/>
      <w:bookmarkEnd w:id="3"/>
      <w:r w:rsidRPr="00DD7C4F">
        <w:rPr>
          <w:color w:val="000000" w:themeColor="text1"/>
        </w:rPr>
        <w:t xml:space="preserve">5. Критерием отбора муниципальных образований автономного округа для предоставления субсидии является деятельность в муниципальном образовании автономного округа народных дружин.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6. Размер субсидии определяется с учетом потребности муниципальных образований автономного округа в финансовом обеспечении расходного обязательства, указанного в </w:t>
      </w:r>
      <w:hyperlink w:anchor="p7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пункте 2</w:t>
        </w:r>
      </w:hyperlink>
      <w:r w:rsidRPr="00DD7C4F">
        <w:rPr>
          <w:color w:val="000000" w:themeColor="text1"/>
        </w:rPr>
        <w:t xml:space="preserve"> Порядка, на основании представленных ими бюджетных заявок на софинансирование мероприятия.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bookmarkStart w:id="4" w:name="p23"/>
      <w:bookmarkEnd w:id="4"/>
      <w:r w:rsidRPr="00DD7C4F">
        <w:rPr>
          <w:color w:val="000000" w:themeColor="text1"/>
        </w:rPr>
        <w:t xml:space="preserve">6.1. Исполнительно-распорядительный орган муниципального образования автономного округа (далее - администрация городского округа, муниципального района) в срок, ежегодно определяемый Депбезопасности Югры с учетом </w:t>
      </w:r>
      <w:hyperlink r:id="rId10" w:history="1">
        <w:r w:rsidRPr="00DD7C4F">
          <w:rPr>
            <w:rStyle w:val="aa"/>
            <w:rFonts w:eastAsia="Arial"/>
            <w:color w:val="000000" w:themeColor="text1"/>
            <w:u w:val="none"/>
          </w:rPr>
          <w:t>графика</w:t>
        </w:r>
      </w:hyperlink>
      <w:r w:rsidRPr="00DD7C4F">
        <w:rPr>
          <w:color w:val="000000" w:themeColor="text1"/>
        </w:rPr>
        <w:t xml:space="preserve"> подготовки, рассмотрения документов и материалов, разрабатываемых при составлении проекта закона о бюджете автономного округа и проекта закона о бюджете территориального фонда обязательного медицинского страхования автономного округа на очередной финансовый год и плановый период, утвержденного постановлением Правительства автономного округа от 30 апреля 2014 года N 154-п, в Депбезопасности Югры представляет: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бюджетную заявку по мероприятию на очередной финансовый год и плановый период с расчетами расходного обязательства муниципального образования автономного округа по форме, определяемой Депбезопасности Югры;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информацию об объемах средств, планируемых к включению в местный бюджет на очередной финансовый год и плановый период на реализацию мероприятия на условиях софинансирования, заверенную руководителем финансового органа муниципального образования автономного округа;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реквизиты муниципального правового акта, соответствующего требованиям, установленным </w:t>
      </w:r>
      <w:hyperlink w:anchor="p13" w:history="1">
        <w:r w:rsidRPr="00DD7C4F">
          <w:rPr>
            <w:rStyle w:val="aa"/>
            <w:rFonts w:eastAsia="Arial"/>
            <w:color w:val="000000" w:themeColor="text1"/>
            <w:u w:val="none"/>
          </w:rPr>
          <w:t>подпунктом 3.1 пункта 3</w:t>
        </w:r>
      </w:hyperlink>
      <w:r w:rsidRPr="00DD7C4F">
        <w:rPr>
          <w:color w:val="000000" w:themeColor="text1"/>
        </w:rPr>
        <w:t xml:space="preserve"> Порядка.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bookmarkStart w:id="5" w:name="p27"/>
      <w:bookmarkEnd w:id="5"/>
      <w:r w:rsidRPr="00DD7C4F">
        <w:rPr>
          <w:color w:val="000000" w:themeColor="text1"/>
        </w:rPr>
        <w:t xml:space="preserve">6.2. Форму бюджетной заявки ежегодно корректирует с учетом первоочередных потребностей по профилактике правонарушений в общественных местах, на улицах и размещает Депбезопасности Югры на своем официальном сайте в разделе "Государственная программа" в срок до 20 апреля года, предшествующего плановому.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6.3. Бюджетная заявка представляется на бумажном и электронном носителях за подписью главы муниципального образования автономного округа или его заместителя, курирующего соответствующую сферу деятельности.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6.4. Основаниями для отказа в рассмотрении бюджетной заявки являются: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непредставление администрацией городского округа, муниципального района документов и сведений, указанных в </w:t>
      </w:r>
      <w:hyperlink w:anchor="p23" w:history="1">
        <w:r w:rsidRPr="00DD7C4F">
          <w:rPr>
            <w:rStyle w:val="aa"/>
            <w:rFonts w:eastAsia="Arial"/>
            <w:color w:val="000000" w:themeColor="text1"/>
            <w:u w:val="none"/>
          </w:rPr>
          <w:t>подпункте 6.1</w:t>
        </w:r>
      </w:hyperlink>
      <w:r w:rsidRPr="00DD7C4F">
        <w:rPr>
          <w:color w:val="000000" w:themeColor="text1"/>
        </w:rPr>
        <w:t xml:space="preserve"> настоящего пункта;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направление бюджетной заявки с нарушением срока или формы.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lastRenderedPageBreak/>
        <w:t xml:space="preserve">6.5. Общий объем потребности муниципального образования автономного округа на реализацию мероприятия администрация городского округа, муниципального района формирует путем сложения заявленных сумм в бюджетных заявках отдельно по каждому направлению расходования субсидии, установленному </w:t>
      </w:r>
      <w:hyperlink w:anchor="p7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пунктом 2</w:t>
        </w:r>
      </w:hyperlink>
      <w:r w:rsidRPr="00DD7C4F">
        <w:rPr>
          <w:color w:val="000000" w:themeColor="text1"/>
        </w:rPr>
        <w:t xml:space="preserve"> Порядка.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7. Распределение субсидии на реализацию мероприятия осуществляется в следующем порядке: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7.1. Муниципальным образованиям автономного округа Депбезопасности Югры в пределах средств бюджета автономного округа на очередной финансовый год и плановый период на реализацию соответствующего мероприятия государственной программы, с учетом документов, указанных в </w:t>
      </w:r>
      <w:hyperlink w:anchor="p23" w:history="1">
        <w:r w:rsidRPr="00DD7C4F">
          <w:rPr>
            <w:rStyle w:val="aa"/>
            <w:rFonts w:eastAsia="Arial"/>
            <w:color w:val="000000" w:themeColor="text1"/>
            <w:u w:val="none"/>
          </w:rPr>
          <w:t>подпункте 6.1 пункта 6</w:t>
        </w:r>
      </w:hyperlink>
      <w:r w:rsidRPr="00DD7C4F">
        <w:rPr>
          <w:color w:val="000000" w:themeColor="text1"/>
        </w:rPr>
        <w:t xml:space="preserve"> Порядка.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7.2. Субсидия планируется и распределяется в разрезе муниципальных образований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7.3. Основанием для отказа в предоставлении муниципальному образованию автономного округа субсидии является информация, свидетельствующая о наличии отклонения от критерия, указанного в </w:t>
      </w:r>
      <w:hyperlink w:anchor="p21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пункте 5</w:t>
        </w:r>
      </w:hyperlink>
      <w:r w:rsidRPr="00DD7C4F">
        <w:rPr>
          <w:color w:val="000000" w:themeColor="text1"/>
        </w:rPr>
        <w:t xml:space="preserve"> Порядка, о чем администрацию городского округа, муниципального района Депбезопасности Югры письменно уведомляет в течение 10 рабочих дней со дня распределения выделенных плановых ассигнований на реализацию мероприятия между городскими округами, муниципальными районами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7.4. Объем софинансирования мероприятия, направленного на предоставление субсидии муниципальному образованию автономного округа на создание условий для деятельности народных дружин из бюджета автономного округа, определяется: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по каждому городскому округу, муниципальному району, подавшему бюджетную заявку в срок и по форме, установленным </w:t>
      </w:r>
      <w:hyperlink w:anchor="p23" w:history="1">
        <w:r w:rsidRPr="00DD7C4F">
          <w:rPr>
            <w:rStyle w:val="aa"/>
            <w:rFonts w:eastAsia="Arial"/>
            <w:color w:val="000000" w:themeColor="text1"/>
            <w:u w:val="none"/>
          </w:rPr>
          <w:t>подпунктами 6.1</w:t>
        </w:r>
      </w:hyperlink>
      <w:r w:rsidRPr="00DD7C4F">
        <w:rPr>
          <w:color w:val="000000" w:themeColor="text1"/>
        </w:rPr>
        <w:t xml:space="preserve">, </w:t>
      </w:r>
      <w:hyperlink w:anchor="p27" w:history="1">
        <w:r w:rsidRPr="00DD7C4F">
          <w:rPr>
            <w:rStyle w:val="aa"/>
            <w:rFonts w:eastAsia="Arial"/>
            <w:color w:val="000000" w:themeColor="text1"/>
            <w:u w:val="none"/>
          </w:rPr>
          <w:t>6.2 пункта 6</w:t>
        </w:r>
      </w:hyperlink>
      <w:r w:rsidRPr="00DD7C4F">
        <w:rPr>
          <w:color w:val="000000" w:themeColor="text1"/>
        </w:rPr>
        <w:t xml:space="preserve"> Порядка;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исходя из доведенного лимита бюджетных обязательств на очередной финансовый год и плановый период и численности населения городского округа, муниципального района (сельского или городского поселения, учтенного в бюджетной заявке) по отношению к общей численности населения автономного округа на 1 января года, предшествующего очередному, по формуле: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 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Лi = (Л чис / Чис окр x Чис мо) + (Л мо / Пос общ x Пос мо), где: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 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Лi - лимит, рассчитанный для i-го городского округа, муниципального района автономного округа;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Л чис - лимит бюджетных обязательств, распределяемый по численности населения, при этом Л чис = Л общ x (1 - (Кол мр / (Кол мр + Кол го)));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Л мо - лимит бюджетных обязательств, распределяемый по количеству сельских и городских поселений (включая городские округа автономного округа), при этом Л мо = Л общ - Л чис;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Л общ - лимит, определенный на очередной финансовый год или год планового периода, на реализацию указанного мероприятия из бюджета автономного округа с учетом осуществления деятельности народных дружин, создания новых народных дружин, включения их в реестр народных дружин и общественных объединений правоохранительной направленности, осуществления выплат в соответствии с Федеральным </w:t>
      </w:r>
      <w:hyperlink r:id="rId11" w:history="1">
        <w:r w:rsidRPr="00DD7C4F">
          <w:rPr>
            <w:rStyle w:val="aa"/>
            <w:rFonts w:eastAsia="Arial"/>
            <w:color w:val="000000" w:themeColor="text1"/>
            <w:u w:val="none"/>
          </w:rPr>
          <w:t>законом</w:t>
        </w:r>
      </w:hyperlink>
      <w:r w:rsidRPr="00DD7C4F">
        <w:rPr>
          <w:color w:val="000000" w:themeColor="text1"/>
        </w:rPr>
        <w:t xml:space="preserve"> от 2 апреля 2014 года N 44-ФЗ "Об участии граждан в охране общественного порядка", </w:t>
      </w:r>
      <w:hyperlink r:id="rId12" w:history="1">
        <w:r w:rsidRPr="00DD7C4F">
          <w:rPr>
            <w:rStyle w:val="aa"/>
            <w:rFonts w:eastAsia="Arial"/>
            <w:color w:val="000000" w:themeColor="text1"/>
            <w:u w:val="none"/>
          </w:rPr>
          <w:t>Законом</w:t>
        </w:r>
      </w:hyperlink>
      <w:r w:rsidRPr="00DD7C4F">
        <w:rPr>
          <w:color w:val="000000" w:themeColor="text1"/>
        </w:rPr>
        <w:t xml:space="preserve"> автономного округа от 19 ноября 2014 года N 95-оз "О регулировании отдельных вопросов участия граждан в охране общественного порядка в Ханты-Мансийском автономном округе - Югре";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Кол го - количество городских округов автономного округа;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Кол мр - количество муниципальных районов автономного округа;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lastRenderedPageBreak/>
        <w:t xml:space="preserve">Чис окр и Чис мо - численность населения автономного округа и численность населения муниципальных образований автономного округа соответственно по состоянию на 1 января года, предшествующего очередному;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Пос общ - общее количество городских, сельских поселений и городских округов в автономном округе;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Пос мо - количество поселений в муниципальных районах автономного округа (по городскому округу = 1).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При этом объем ассигнований из бюджета автономного округа для отдельного муниципального образования автономного округа не должен превышать объем заявленных ассигнований из бюджета автономного округа в бюджетной заявке.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Суммы превышения рассчитанного лимита над заявленной суммой в бюджетной заявке, а также суммы, не распределенные в связи с тем, что отдельными муниципальными образованиями автономного округа не поданы бюджетные заявки, суммируются, и их общий объем распределяется между муниципальными образованиями автономного округа, у которых заявленная сумма в бюджетной заявке по доле автономного округа превышает рассчитанный лимит софинансирования. Расчет осуществляется аналогично с учетом численности населения.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8. В случае если в муниципальном районе автономного округа реализацию мероприятия осуществляют администрации городских и сельских поселений в пределах полномочий и передаваемых трансфертов, то субсидия, предоставленная муниципальному району из бюджета автономного округа, передается в виде иного межбюджетного трансферта в бюджеты поселений, входящих в его состав, на основании заключенных соглашений между администрацией муниципального района и администрациями поселений в соответствии с </w:t>
      </w:r>
      <w:hyperlink r:id="rId13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пунктом 11</w:t>
        </w:r>
      </w:hyperlink>
      <w:r w:rsidRPr="00DD7C4F">
        <w:rPr>
          <w:color w:val="000000" w:themeColor="text1"/>
        </w:rPr>
        <w:t xml:space="preserve"> Правил формирования, предоставления и распределения субсидий из бюджета автономного округа местным бюджетам, утвержденных постановлением Правительства автономного округа от 6 декабря 2019 года N 475-п (далее - Правила предоставления субсидии).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9. Соглашение заключается после принятия бюджета автономного округа, местных бюджетов на очередной финансовый год и плановый период и муниципальных правовых актов, утвердивших муниципальные программы, мероприятия которых направлены на достижение целей государственной программы (содержат мероприятия и показатели, аналогичные государственной программе), в государственной информационной системе автономного округа "Региональный электронный бюджет Югры" по форме, утвержденной Департаментом финансов автономного округа, в срок, установленный пунктом 12 Правил предоставления субсидии.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В случае нарушения срока заключения Соглашения средства субсидии на текущий финансовый год направляются на увеличение бюджетных ассигнований резервного фонда Правительства автономного округа для оказания финансовой помощи местным бюджетам в размере субсидии, в отношении которой не заключено Соглашение, в порядке, установленном Правительством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10. Для заключения Соглашения администрация городского округа, муниципального района автономного округа при размещении в государственной информационной системе автономного округа "Региональный электронный бюджет Югры" проекта Соглашения прикрепляет следующие документы: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копию утвержденного муниципального правового акта, соответствующего требованиям, установленным </w:t>
      </w:r>
      <w:hyperlink w:anchor="p13" w:history="1">
        <w:r w:rsidRPr="00DD7C4F">
          <w:rPr>
            <w:rStyle w:val="aa"/>
            <w:rFonts w:eastAsia="Arial"/>
            <w:color w:val="000000" w:themeColor="text1"/>
            <w:u w:val="none"/>
          </w:rPr>
          <w:t>подпунктом 3.1 пункта 3</w:t>
        </w:r>
      </w:hyperlink>
      <w:r w:rsidRPr="00DD7C4F">
        <w:rPr>
          <w:color w:val="000000" w:themeColor="text1"/>
        </w:rPr>
        <w:t xml:space="preserve"> Порядка;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выписку из решения о бюджете (или из сводной бюджетной росписи местного бюджета) муниципального образования автономного округа, подтверждающую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автономного округа, в целях софинансирования которых предоставляется субсидия, в объеме, необходимом для их исполнения, включая размер планируемой к </w:t>
      </w:r>
      <w:r w:rsidRPr="00DD7C4F">
        <w:rPr>
          <w:color w:val="000000" w:themeColor="text1"/>
        </w:rPr>
        <w:lastRenderedPageBreak/>
        <w:t xml:space="preserve">предоставлению из бюджета автономного округа субсидии с учетом уровня софинансирования, установленного Порядком, заверенную руководителем финансового органа муниципального образования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11. Перечисление субсидии осуществляется на казначейский счет для осуществления операций по учету и распределению поступлений, открытый Управлению Федерального казначейства по автономному округу, в установленном порядке в пределах суммы, необходимой для оплаты денежных обязательств по расходам муниципального образования (в размере фактической потребности), источником финансового обеспечения которых являются средства субсидии, предоставляемые из бюджета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12. Результатом использования субсидии является достижение значения показателя "Уровень преступности на улицах и в общественных местах (число зарегистрированных преступлений на 100 тыс. человек населения)" муниципальной программы.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Расходование субсидии является эффективным, если достигнутый показатель муниципальной программы по состоянию на 31 декабря текущего года не превышает плановое значение показателя, указанное в приложении к Соглашению.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Оценку эффективности использования субсидии осуществляет Депбезопасности Югры до 20 февраля года, следующего за годом предоставления субсидии, на основании представленных администрациями городских округов, муниципальных районов автономного округа отчетов.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Ответственность за достоверность сведений, указанных в отчетах, возлагается на администрации городских округов и муниципальных районов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Формы отчетов, сроки их представления устанавливаются Соглашением.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13. В случае если муниципальным образованием автономного округа по состоянию на 31 декабря года предоставления субсидии не достигнуты значения результатов исполнения мероприятий, в целях софинансирования которых предоставляется субсидия, и указанные нарушения не устранены в срок до 10 февраля следующего за годом предоставления субсидии, субсидия подлежит возврату в бюджет автономного округа в срок до 1 марта года, следующего за годом ее предоставления, в размере, определенном Депбезопасности Югры в соответствии с пунктом 23 Правил предоставления субсидии.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14. В случае если муниципальным образованием автономного округа по состоянию на 31 декабря года предоставления субсидии допущены нарушения обязательств в части соблюдения уровня софинансирования, объем средств, подлежащий возврату из местного бюджета в бюджет автономного округа в срок до 1 марта года, следующего за годом предоставления субсидии, определяется в соответствии с </w:t>
      </w:r>
      <w:hyperlink r:id="rId14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пунктом 25</w:t>
        </w:r>
      </w:hyperlink>
      <w:r w:rsidRPr="00DD7C4F">
        <w:rPr>
          <w:color w:val="000000" w:themeColor="text1"/>
        </w:rPr>
        <w:t xml:space="preserve"> Правил предоставления субсидии.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15. В случае нецелевого использования субсидии и (или) нарушения муниципальным образованием автономного округа условий ее предоставления (расходования) к нему применяются бюджетные меры принуждения, предусмотренные бюджетным законодательством Российской Федерации и (или) меры административной ответственности.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Контроль соблюдения условий представления субсидии и ее целевого использования осуществляет Депбезопасности Югры, а также органы государственного финансового контроля автономного округа.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В случае непредставления отчетов Депбезопасности Югры направляет главе муниципального образования автономного округа предложение об инициировании проведения в установленном порядке служебной проверки с целью привлечения должностных лиц, ответственных за их представление, к дисциплинарной ответственности в соответствии с законодательством Российской Федерации. </w:t>
      </w:r>
    </w:p>
    <w:p w:rsidR="00C2773C" w:rsidRPr="00DD7C4F" w:rsidRDefault="00C2773C" w:rsidP="00DD7C4F">
      <w:pPr>
        <w:pStyle w:val="afe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DD7C4F">
        <w:rPr>
          <w:color w:val="000000" w:themeColor="text1"/>
        </w:rPr>
        <w:t xml:space="preserve">16. В случае отсутствия у муниципальных образований автономного округа потребности в выделенной (полученной) в текущем году субсидии в ранее </w:t>
      </w:r>
      <w:r w:rsidRPr="00DD7C4F">
        <w:rPr>
          <w:color w:val="000000" w:themeColor="text1"/>
        </w:rPr>
        <w:lastRenderedPageBreak/>
        <w:t xml:space="preserve">установленном размере ее объем уменьшается и распределяется с учетом требований, установленных в </w:t>
      </w:r>
      <w:hyperlink r:id="rId15" w:history="1">
        <w:r w:rsidRPr="00DD7C4F">
          <w:rPr>
            <w:rStyle w:val="aa"/>
            <w:rFonts w:eastAsia="Arial"/>
            <w:color w:val="000000" w:themeColor="text1"/>
            <w:u w:val="none"/>
          </w:rPr>
          <w:t>пункте 22.1</w:t>
        </w:r>
      </w:hyperlink>
      <w:r w:rsidRPr="00DD7C4F">
        <w:rPr>
          <w:color w:val="000000" w:themeColor="text1"/>
        </w:rPr>
        <w:t xml:space="preserve"> Правил предоставления субсидии. </w:t>
      </w:r>
    </w:p>
    <w:p w:rsidR="00DB2A70" w:rsidRPr="00DD7C4F" w:rsidRDefault="00DB2A70" w:rsidP="00DD7C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DB2A70" w:rsidRPr="00DD7C4F" w:rsidSect="00DD7C4F">
      <w:headerReference w:type="default" r:id="rId16"/>
      <w:headerReference w:type="first" r:id="rId17"/>
      <w:pgSz w:w="11906" w:h="16838"/>
      <w:pgMar w:top="1261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A70" w:rsidRDefault="00C2773C">
      <w:pPr>
        <w:spacing w:after="0" w:line="240" w:lineRule="auto"/>
      </w:pPr>
      <w:r>
        <w:separator/>
      </w:r>
    </w:p>
  </w:endnote>
  <w:endnote w:type="continuationSeparator" w:id="0">
    <w:p w:rsidR="00DB2A70" w:rsidRDefault="00C2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A70" w:rsidRDefault="00C2773C">
      <w:pPr>
        <w:spacing w:after="0" w:line="240" w:lineRule="auto"/>
      </w:pPr>
      <w:r>
        <w:separator/>
      </w:r>
    </w:p>
  </w:footnote>
  <w:footnote w:type="continuationSeparator" w:id="0">
    <w:p w:rsidR="00DB2A70" w:rsidRDefault="00C2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3112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D7C4F" w:rsidRPr="00DD7C4F" w:rsidRDefault="00DD7C4F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D7C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D7C4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7A1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B2A70" w:rsidRDefault="00DB2A70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890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D7C4F" w:rsidRPr="00DD7C4F" w:rsidRDefault="00DD7C4F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D7C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D7C4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F7A1C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B2A70" w:rsidRDefault="00DB2A7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5B9B"/>
    <w:multiLevelType w:val="hybridMultilevel"/>
    <w:tmpl w:val="387C41FA"/>
    <w:lvl w:ilvl="0" w:tplc="9334D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A62722">
      <w:start w:val="1"/>
      <w:numFmt w:val="lowerLetter"/>
      <w:lvlText w:val="%2."/>
      <w:lvlJc w:val="left"/>
      <w:pPr>
        <w:ind w:left="1789" w:hanging="360"/>
      </w:pPr>
    </w:lvl>
    <w:lvl w:ilvl="2" w:tplc="D1E4C136">
      <w:start w:val="1"/>
      <w:numFmt w:val="lowerRoman"/>
      <w:lvlText w:val="%3."/>
      <w:lvlJc w:val="right"/>
      <w:pPr>
        <w:ind w:left="2509" w:hanging="180"/>
      </w:pPr>
    </w:lvl>
    <w:lvl w:ilvl="3" w:tplc="AE0816D0">
      <w:start w:val="1"/>
      <w:numFmt w:val="decimal"/>
      <w:lvlText w:val="%4."/>
      <w:lvlJc w:val="left"/>
      <w:pPr>
        <w:ind w:left="3229" w:hanging="360"/>
      </w:pPr>
    </w:lvl>
    <w:lvl w:ilvl="4" w:tplc="8F009540">
      <w:start w:val="1"/>
      <w:numFmt w:val="lowerLetter"/>
      <w:lvlText w:val="%5."/>
      <w:lvlJc w:val="left"/>
      <w:pPr>
        <w:ind w:left="3949" w:hanging="360"/>
      </w:pPr>
    </w:lvl>
    <w:lvl w:ilvl="5" w:tplc="3B04731C">
      <w:start w:val="1"/>
      <w:numFmt w:val="lowerRoman"/>
      <w:lvlText w:val="%6."/>
      <w:lvlJc w:val="right"/>
      <w:pPr>
        <w:ind w:left="4669" w:hanging="180"/>
      </w:pPr>
    </w:lvl>
    <w:lvl w:ilvl="6" w:tplc="5E56A1D0">
      <w:start w:val="1"/>
      <w:numFmt w:val="decimal"/>
      <w:lvlText w:val="%7."/>
      <w:lvlJc w:val="left"/>
      <w:pPr>
        <w:ind w:left="5389" w:hanging="360"/>
      </w:pPr>
    </w:lvl>
    <w:lvl w:ilvl="7" w:tplc="351E1A4A">
      <w:start w:val="1"/>
      <w:numFmt w:val="lowerLetter"/>
      <w:lvlText w:val="%8."/>
      <w:lvlJc w:val="left"/>
      <w:pPr>
        <w:ind w:left="6109" w:hanging="360"/>
      </w:pPr>
    </w:lvl>
    <w:lvl w:ilvl="8" w:tplc="FCE81DA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70"/>
    <w:rsid w:val="00615531"/>
    <w:rsid w:val="00930E56"/>
    <w:rsid w:val="009F7A1C"/>
    <w:rsid w:val="00A851E5"/>
    <w:rsid w:val="00C2773C"/>
    <w:rsid w:val="00DB2A70"/>
    <w:rsid w:val="00DD7C4F"/>
    <w:rsid w:val="00EB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834268"/>
  <w15:docId w15:val="{AD54C615-8BF2-4394-A59E-A32CAA05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 Spacing"/>
    <w:uiPriority w:val="1"/>
    <w:qFormat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f8">
    <w:name w:val="Body Text"/>
    <w:basedOn w:val="a"/>
    <w:link w:val="af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foot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Pr>
      <w:vertAlign w:val="superscript"/>
    </w:rPr>
  </w:style>
  <w:style w:type="paragraph" w:styleId="afe">
    <w:name w:val="Normal (Web)"/>
    <w:basedOn w:val="a"/>
    <w:uiPriority w:val="99"/>
    <w:unhideWhenUsed/>
    <w:rsid w:val="00C2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7943&amp;dst=100185&amp;field=134&amp;date=09.10.2024" TargetMode="External"/><Relationship Id="rId13" Type="http://schemas.openxmlformats.org/officeDocument/2006/relationships/hyperlink" Target="https://login.consultant.ru/link/?req=doc&amp;base=RLAW926&amp;n=307773&amp;dst=100055&amp;field=134&amp;date=09.10.202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926&amp;n=266216&amp;date=09.10.2024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0531&amp;date=09.10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926&amp;n=307773&amp;dst=100113&amp;field=134&amp;date=09.10.2024" TargetMode="External"/><Relationship Id="rId10" Type="http://schemas.openxmlformats.org/officeDocument/2006/relationships/hyperlink" Target="https://login.consultant.ru/link/?req=doc&amp;base=RLAW926&amp;n=307066&amp;dst=100645&amp;field=134&amp;date=09.10.202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266216&amp;dst=100119&amp;field=134&amp;date=09.10.2024" TargetMode="External"/><Relationship Id="rId14" Type="http://schemas.openxmlformats.org/officeDocument/2006/relationships/hyperlink" Target="https://login.consultant.ru/link/?req=doc&amp;base=RLAW926&amp;n=307773&amp;dst=100089&amp;field=134&amp;date=09.10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0040E-13F9-4B4B-B221-39E2C3E2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2810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Сарычева Яна Станиславовна</dc:creator>
  <cp:lastModifiedBy>Нестеренко Юлия Артемовна</cp:lastModifiedBy>
  <cp:revision>42</cp:revision>
  <dcterms:created xsi:type="dcterms:W3CDTF">2022-12-23T11:31:00Z</dcterms:created>
  <dcterms:modified xsi:type="dcterms:W3CDTF">2024-11-11T10:16:00Z</dcterms:modified>
</cp:coreProperties>
</file>